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kern w:val="1"/>
          <w:sz w:val="48"/>
          <w:szCs w:val="48"/>
        </w:rPr>
      </w:pPr>
      <w:r>
        <w:rPr>
          <w:b/>
          <w:kern w:val="1"/>
          <w:sz w:val="48"/>
          <w:szCs w:val="48"/>
        </w:rPr>
      </w:r>
    </w:p>
    <w:p>
      <w:pPr>
        <w:spacing/>
        <w:jc w:val="center"/>
        <w:rPr>
          <w:rFonts w:eastAsia="Microsoft YaHei UI"/>
          <w:kern w:val="1"/>
          <w:sz w:val="72"/>
          <w:szCs w:val="72"/>
        </w:rPr>
      </w:pPr>
      <w:r>
        <w:rPr>
          <w:rFonts w:eastAsia="Microsoft YaHei UI"/>
          <w:kern w:val="1"/>
          <w:sz w:val="72"/>
          <w:szCs w:val="72"/>
        </w:rPr>
        <w:t>“</w:t>
      </w:r>
      <w:r>
        <w:rPr>
          <w:rFonts w:ascii="‹ÎSå" w:hAnsi="‹ÎSå" w:eastAsia="Microsoft YaHei UI" w:cs="Microsoft YaHei UI"/>
          <w:kern w:val="1"/>
          <w:sz w:val="72"/>
          <w:szCs w:val="72"/>
        </w:rPr>
        <w:t xml:space="preserve"> </w:t>
      </w:r>
      <w:r>
        <w:rPr>
          <w:rFonts w:eastAsia="Microsoft YaHei UI"/>
          <w:kern w:val="1"/>
          <w:sz w:val="72"/>
          <w:szCs w:val="72"/>
        </w:rPr>
        <w:t>新枫</w:t>
      </w:r>
      <w:r>
        <w:rPr>
          <w:rFonts w:eastAsia="Microsoft YaHei UI"/>
          <w:kern w:val="1"/>
          <w:sz w:val="72"/>
          <w:szCs w:val="72"/>
        </w:rPr>
        <w:t>”</w:t>
      </w:r>
      <w:r>
        <w:rPr>
          <w:rFonts w:eastAsia="Microsoft YaHei UI"/>
          <w:kern w:val="1"/>
          <w:sz w:val="72"/>
          <w:szCs w:val="72"/>
        </w:rPr>
        <w:t>读书节第二课堂</w:t>
      </w:r>
      <w:r>
        <w:rPr>
          <w:rFonts w:eastAsia="Microsoft YaHei UI"/>
          <w:kern w:val="1"/>
          <w:sz w:val="72"/>
          <w:szCs w:val="72"/>
        </w:rPr>
      </w:r>
    </w:p>
    <w:p>
      <w:pPr>
        <w:spacing/>
        <w:jc w:val="left"/>
        <w:rPr>
          <w:rFonts w:ascii="楷体" w:hAnsi="楷体" w:eastAsia="楷体"/>
          <w:kern w:val="1"/>
          <w:sz w:val="36"/>
          <w:szCs w:val="36"/>
        </w:rPr>
      </w:pPr>
      <w:r>
        <w:rPr>
          <w:rFonts w:eastAsia="Microsoft YaHei UI"/>
          <w:kern w:val="1"/>
          <w:sz w:val="40"/>
          <w:szCs w:val="40"/>
        </w:rPr>
        <w:t xml:space="preserve">    </w:t>
      </w:r>
      <w:r>
        <w:rPr>
          <w:rFonts w:ascii="楷体" w:hAnsi="楷体" w:eastAsia="楷体" w:hint="eastAsia"/>
          <w:b/>
          <w:kern w:val="1"/>
          <w:sz w:val="44"/>
          <w:szCs w:val="44"/>
        </w:rPr>
        <w:t>——</w:t>
      </w:r>
      <w:r>
        <w:rPr>
          <w:rFonts w:ascii="楷体" w:hAnsi="楷体" w:eastAsia="楷体" w:hint="eastAsia"/>
          <w:b/>
          <w:kern w:val="1"/>
          <w:sz w:val="36"/>
          <w:szCs w:val="36"/>
        </w:rPr>
        <w:t>“展会，让校园更精彩”</w:t>
      </w:r>
      <w:r>
        <w:rPr>
          <w:rFonts w:ascii="楷体" w:hAnsi="楷体" w:eastAsia="楷体"/>
          <w:b/>
          <w:kern w:val="1"/>
          <w:sz w:val="36"/>
          <w:szCs w:val="36"/>
        </w:rPr>
        <w:t>校园展会</w:t>
      </w:r>
      <w:r>
        <w:rPr>
          <w:rFonts w:ascii="楷体" w:hAnsi="楷体" w:eastAsia="楷体"/>
          <w:kern w:val="1"/>
          <w:sz w:val="36"/>
          <w:szCs w:val="36"/>
        </w:rPr>
      </w:r>
    </w:p>
    <w:p>
      <w:pPr>
        <w:spacing/>
        <w:jc w:val="center"/>
        <w:rPr>
          <w:rFonts w:ascii="楷体" w:hAnsi="楷体" w:eastAsia="楷体"/>
          <w:spacing w:val="-20"/>
          <w:sz w:val="36"/>
          <w:szCs w:val="36"/>
        </w:rPr>
      </w:pPr>
      <w:r>
        <w:rPr>
          <w:rFonts w:ascii="楷体" w:hAnsi="楷体" w:eastAsia="楷体" w:hint="eastAsia"/>
          <w:b/>
          <w:kern w:val="1"/>
          <w:sz w:val="36"/>
          <w:szCs w:val="36"/>
        </w:rPr>
        <w:t xml:space="preserve">        </w:t>
      </w:r>
      <w:r>
        <w:rPr>
          <w:rFonts w:ascii="楷体" w:hAnsi="楷体" w:eastAsia="楷体" w:hint="eastAsia"/>
          <w:b/>
          <w:spacing w:val="-20"/>
          <w:sz w:val="36"/>
          <w:szCs w:val="36"/>
        </w:rPr>
        <w:t>暨第一届“我最喜爱的校园展会”评选活动</w:t>
      </w:r>
      <w:r>
        <w:rPr>
          <w:rFonts w:ascii="楷体" w:hAnsi="楷体" w:eastAsia="楷体"/>
          <w:spacing w:val="-20"/>
          <w:sz w:val="36"/>
          <w:szCs w:val="36"/>
        </w:rPr>
        <w:t xml:space="preserve">  </w:t>
      </w:r>
      <w:r>
        <w:rPr>
          <w:rFonts w:ascii="楷体" w:hAnsi="楷体" w:eastAsia="楷体"/>
          <w:spacing w:val="-20"/>
          <w:sz w:val="36"/>
          <w:szCs w:val="36"/>
        </w:rPr>
      </w:r>
    </w:p>
    <w:p>
      <w:pPr>
        <w:rPr>
          <w:kern w:val="1"/>
        </w:rPr>
      </w:pPr>
      <w:r>
        <w:rPr>
          <w:kern w:val="1"/>
        </w:rPr>
      </w:r>
    </w:p>
    <w:p>
      <w:pPr>
        <w:spacing/>
        <w:jc w:val="center"/>
        <w:rPr>
          <w:kern w:val="1"/>
          <w:sz w:val="84"/>
          <w:szCs w:val="84"/>
        </w:rPr>
      </w:pPr>
      <w:r>
        <w:rPr>
          <w:kern w:val="1"/>
          <w:sz w:val="84"/>
          <w:szCs w:val="84"/>
        </w:rPr>
      </w:r>
    </w:p>
    <w:p>
      <w:pPr>
        <w:spacing w:line="1200" w:lineRule="auto"/>
        <w:jc w:val="center"/>
        <w:rPr>
          <w:rFonts w:ascii="楷体" w:hAnsi="楷体" w:eastAsia="楷体"/>
          <w:kern w:val="1"/>
          <w:sz w:val="84"/>
          <w:szCs w:val="84"/>
        </w:rPr>
      </w:pPr>
      <w:r>
        <w:rPr>
          <w:rFonts w:ascii="楷体" w:hAnsi="楷体" w:eastAsia="楷体"/>
          <w:kern w:val="1"/>
          <w:sz w:val="84"/>
          <w:szCs w:val="84"/>
        </w:rPr>
        <w:t>策</w:t>
      </w:r>
      <w:r>
        <w:rPr>
          <w:rFonts w:ascii="楷体" w:hAnsi="楷体" w:eastAsia="楷体"/>
          <w:kern w:val="1"/>
          <w:sz w:val="84"/>
          <w:szCs w:val="84"/>
        </w:rPr>
      </w:r>
    </w:p>
    <w:p>
      <w:pPr>
        <w:spacing w:line="1200" w:lineRule="auto"/>
        <w:jc w:val="center"/>
        <w:rPr>
          <w:rFonts w:ascii="楷体" w:hAnsi="楷体" w:eastAsia="楷体"/>
          <w:kern w:val="1"/>
          <w:sz w:val="84"/>
          <w:szCs w:val="84"/>
        </w:rPr>
      </w:pPr>
      <w:r>
        <w:rPr>
          <w:rFonts w:ascii="楷体" w:hAnsi="楷体" w:eastAsia="楷体"/>
          <w:kern w:val="1"/>
          <w:sz w:val="84"/>
          <w:szCs w:val="84"/>
        </w:rPr>
        <w:t>划</w:t>
      </w:r>
      <w:r>
        <w:rPr>
          <w:rFonts w:ascii="楷体" w:hAnsi="楷体" w:eastAsia="楷体"/>
          <w:kern w:val="1"/>
          <w:sz w:val="84"/>
          <w:szCs w:val="84"/>
        </w:rPr>
      </w:r>
    </w:p>
    <w:p>
      <w:pPr>
        <w:spacing w:line="1200" w:lineRule="auto"/>
        <w:jc w:val="center"/>
        <w:rPr>
          <w:rFonts w:ascii="楷体" w:hAnsi="楷体" w:eastAsia="楷体"/>
        </w:rPr>
      </w:pPr>
      <w:r>
        <w:rPr>
          <w:rFonts w:ascii="楷体" w:hAnsi="楷体" w:eastAsia="楷体"/>
          <w:kern w:val="1"/>
          <w:sz w:val="84"/>
          <w:szCs w:val="84"/>
        </w:rPr>
        <w:t>书</w:t>
      </w:r>
      <w:r>
        <w:rPr>
          <w:rFonts w:ascii="楷体" w:hAnsi="楷体" w:eastAsia="楷体"/>
        </w:rPr>
      </w:r>
    </w:p>
    <w:p>
      <w:pPr>
        <w:spacing w:line="360" w:lineRule="auto"/>
        <w:jc w:val="center"/>
      </w:pPr>
      <w:r/>
    </w:p>
    <w:p>
      <w:pPr>
        <w:spacing w:line="360" w:lineRule="auto"/>
        <w:jc w:val="center"/>
      </w:pPr>
      <w:r/>
    </w:p>
    <w:p>
      <w:pPr>
        <w:spacing w:line="360" w:lineRule="auto"/>
        <w:jc w:val="center"/>
      </w:pPr>
      <w:r/>
    </w:p>
    <w:p>
      <w:pPr>
        <w:pStyle w:val="1"/>
        <w:spacing w:before="0" w:after="0" w:line="360" w:lineRule="auto"/>
        <w:jc w:val="center"/>
        <w:rPr>
          <w:rFonts w:ascii="楷体" w:hAnsi="楷体" w:eastAsia="楷体"/>
          <w:kern w:val="1"/>
          <w:szCs w:val="44"/>
        </w:rPr>
      </w:pPr>
      <w:r>
        <w:rPr>
          <w:rFonts w:ascii="楷体" w:hAnsi="楷体" w:eastAsia="楷体"/>
          <w:kern w:val="1"/>
          <w:szCs w:val="44"/>
        </w:rPr>
        <w:t>武汉商学院旅游与酒店管理学院</w:t>
      </w:r>
      <w:r>
        <w:rPr>
          <w:rFonts w:ascii="楷体" w:hAnsi="楷体" w:eastAsia="楷体"/>
          <w:kern w:val="1"/>
          <w:szCs w:val="44"/>
        </w:rPr>
      </w:r>
    </w:p>
    <w:p>
      <w:pPr>
        <w:ind w:firstLine="480"/>
        <w:spacing w:line="360" w:lineRule="auto"/>
        <w:jc w:val="lef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</w:r>
    </w:p>
    <w:p>
      <w:pPr>
        <w:ind w:firstLine="480"/>
        <w:spacing w:line="360" w:lineRule="auto"/>
        <w:jc w:val="lef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</w:r>
    </w:p>
    <w:p>
      <w:pPr>
        <w:ind w:firstLine="480"/>
        <w:spacing w:line="360" w:lineRule="auto"/>
        <w:jc w:val="lef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</w:r>
    </w:p>
    <w:p>
      <w:pPr>
        <w:ind w:firstLine="560"/>
        <w:spacing w:line="360" w:lineRule="auto"/>
        <w:jc w:val="left"/>
        <w:rPr>
          <w:rFonts w:ascii="黑体" w:hAnsi="黑体" w:eastAsia="黑体"/>
          <w:kern w:val="1"/>
          <w:sz w:val="28"/>
          <w:szCs w:val="28"/>
        </w:rPr>
      </w:pPr>
      <w:r>
        <w:rPr>
          <w:rFonts w:ascii="黑体" w:hAnsi="黑体" w:eastAsia="黑体"/>
          <w:kern w:val="1"/>
          <w:sz w:val="28"/>
          <w:szCs w:val="28"/>
        </w:rPr>
        <w:t>一、活动背景</w:t>
      </w:r>
      <w:r>
        <w:rPr>
          <w:rFonts w:ascii="黑体" w:hAnsi="黑体" w:eastAsia="黑体"/>
          <w:kern w:val="1"/>
          <w:sz w:val="28"/>
          <w:szCs w:val="28"/>
        </w:rPr>
      </w:r>
    </w:p>
    <w:p>
      <w:pPr>
        <w:ind w:firstLine="480"/>
        <w:spacing w:line="360" w:lineRule="auto"/>
        <w:jc w:val="lef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为继续推动</w:t>
      </w:r>
      <w:r>
        <w:rPr>
          <w:kern w:val="1"/>
          <w:sz w:val="24"/>
          <w:szCs w:val="24"/>
        </w:rPr>
        <w:t>“</w:t>
      </w:r>
      <w:r>
        <w:rPr>
          <w:kern w:val="1"/>
          <w:sz w:val="24"/>
          <w:szCs w:val="24"/>
        </w:rPr>
        <w:t>知行行动</w:t>
      </w:r>
      <w:r>
        <w:rPr>
          <w:kern w:val="1"/>
          <w:sz w:val="24"/>
          <w:szCs w:val="24"/>
        </w:rPr>
        <w:t>”</w:t>
      </w:r>
      <w:r>
        <w:rPr>
          <w:kern w:val="1"/>
          <w:sz w:val="24"/>
          <w:szCs w:val="24"/>
        </w:rPr>
        <w:t>的深入开展，</w:t>
      </w:r>
      <w:r>
        <w:rPr>
          <w:rFonts w:ascii="宋体" w:hAnsi="宋体" w:cs="宋体" w:hint="eastAsia"/>
          <w:sz w:val="24"/>
          <w:szCs w:val="24"/>
        </w:rPr>
        <w:t>充分发挥图书馆等有利资源，进一步提高广大学子的思想内涵而开展的“新枫”读书节，为将“文明行为”融入到系列文化活动中，通过弘扬中华优秀传统文化提升学生人文道德素养，增强校园文化</w:t>
      </w:r>
      <w:r>
        <w:rPr>
          <w:rFonts w:ascii="宋体" w:hAnsi="宋体" w:cs="宋体" w:hint="eastAsia"/>
          <w:sz w:val="24"/>
          <w:szCs w:val="24"/>
        </w:rPr>
        <w:t>软实力</w:t>
      </w:r>
      <w:r>
        <w:rPr>
          <w:rFonts w:ascii="宋体" w:hAnsi="宋体" w:cs="宋体" w:hint="eastAsia"/>
          <w:sz w:val="24"/>
          <w:szCs w:val="24"/>
        </w:rPr>
        <w:t>建设。而在对会展专业的</w:t>
      </w:r>
      <w:r>
        <w:rPr>
          <w:rFonts w:ascii="宋体" w:hAnsi="宋体" w:cs="宋体" w:hint="eastAsia"/>
          <w:sz w:val="24"/>
          <w:szCs w:val="24"/>
        </w:rPr>
        <w:t>会展法规</w:t>
      </w:r>
      <w:r>
        <w:rPr>
          <w:rFonts w:ascii="宋体" w:hAnsi="宋体" w:cs="宋体" w:hint="eastAsia"/>
          <w:sz w:val="24"/>
          <w:szCs w:val="24"/>
        </w:rPr>
        <w:t>实务、会展营销、会展策划实务、会展信息管理、会展旅游等专业课程的解读过程中对会展有了更多的了解和认识。这次读书节</w:t>
      </w:r>
      <w:r>
        <w:rPr>
          <w:kern w:val="1"/>
          <w:sz w:val="24"/>
          <w:szCs w:val="24"/>
        </w:rPr>
        <w:t>是大学生成长的一项重要经历，也是各专业进行专业介绍和推广的重要渠道。学校每年度都成功举办了一些影响力较大、效果较好、富有专业特色的各式展会活动，对丰富校园生活、增强学科建设和专业实践、提升学校的影响力和人才积累、锻炼学生的勇气和展示学生的风采都起到了极大的推动作用。</w:t>
      </w:r>
      <w:r>
        <w:rPr>
          <w:kern w:val="1"/>
          <w:sz w:val="24"/>
          <w:szCs w:val="24"/>
        </w:rPr>
      </w:r>
    </w:p>
    <w:p>
      <w:pPr>
        <w:ind w:firstLine="480"/>
        <w:spacing w:line="360" w:lineRule="auto"/>
        <w:jc w:val="left"/>
        <w:tabs>
          <w:tab w:val="left" w:pos="801" w:leader="none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但是，这些展会活动也有一些共性的问题，例如展会的水平和层次不高、学生的参与度不够、展会的预期目的没有实现等。我们认为举办这样一个</w:t>
      </w:r>
      <w:r>
        <w:rPr>
          <w:kern w:val="1"/>
          <w:sz w:val="24"/>
          <w:szCs w:val="24"/>
        </w:rPr>
        <w:t>“</w:t>
      </w:r>
      <w:r>
        <w:rPr>
          <w:kern w:val="1"/>
          <w:sz w:val="24"/>
          <w:szCs w:val="24"/>
        </w:rPr>
        <w:t>我最喜爱的校园展会</w:t>
      </w:r>
      <w:r>
        <w:rPr>
          <w:kern w:val="1"/>
          <w:sz w:val="24"/>
          <w:szCs w:val="24"/>
        </w:rPr>
        <w:t>”</w:t>
      </w:r>
      <w:r>
        <w:rPr>
          <w:kern w:val="1"/>
          <w:sz w:val="24"/>
          <w:szCs w:val="24"/>
        </w:rPr>
        <w:t>评选活动，以及颁奖活动，有利于提升大家对展会活动的认识，有利于营造提升展会品质、增强展会影响力良性互动氛围，有利于实现专业宣传和推广的实质效果。</w:t>
      </w:r>
      <w:r>
        <w:rPr>
          <w:kern w:val="1"/>
          <w:sz w:val="24"/>
          <w:szCs w:val="24"/>
        </w:rPr>
      </w:r>
    </w:p>
    <w:p>
      <w:pPr>
        <w:ind w:firstLine="480"/>
        <w:spacing w:line="360" w:lineRule="auto"/>
        <w:jc w:val="left"/>
        <w:tabs>
          <w:tab w:val="left" w:pos="801" w:leader="none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另一方面，旅游与酒店管理学院的会展专业刚升入本科，其他院校对于会展专业比较陌生和难以理解。通过举办此次会展评选活动，以及其他配套互动，来进一步提高旅游与酒店管理学院会展专业的知名度，提升旅游与酒店管理学院的形象。</w:t>
      </w:r>
    </w:p>
    <w:p>
      <w:pPr>
        <w:ind w:firstLine="560"/>
        <w:spacing w:line="360" w:lineRule="auto"/>
        <w:jc w:val="left"/>
        <w:rPr>
          <w:rFonts w:ascii="黑体" w:hAnsi="黑体" w:eastAsia="黑体"/>
          <w:kern w:val="1"/>
          <w:sz w:val="28"/>
          <w:szCs w:val="28"/>
        </w:rPr>
      </w:pPr>
      <w:r>
        <w:rPr>
          <w:rFonts w:ascii="黑体" w:hAnsi="黑体" w:eastAsia="黑体"/>
          <w:kern w:val="1"/>
          <w:sz w:val="28"/>
          <w:szCs w:val="28"/>
        </w:rPr>
        <w:t>二、活动方案</w:t>
      </w:r>
    </w:p>
    <w:p>
      <w:pPr>
        <w:ind w:firstLine="480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（一）活动时间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2016年11月17日</w:t>
      </w:r>
    </w:p>
    <w:p>
      <w:pPr>
        <w:ind w:firstLine="480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（二）活动地点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致远广场（待定）</w:t>
      </w:r>
    </w:p>
    <w:p>
      <w:pPr>
        <w:ind w:firstLine="480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（三）评选方式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1.用大众评审微信投票方式，从而在各类展会中评选出选票最高的两个展会，作为学生最喜爱展会。颁发奖励证书，由相应展会负责人领取。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2.通过专业评审评选出专业展会前三名，专业评审主要从策划方案、主题选取、活动组织、盈利情况、活动效果等方面进行评审。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3.由主持人致词，每一个等次奖项穿插一个文艺表演，由主持人宣布获展名次，礼仪人员将相应证书送至各院书记，书记颁发证书与奖品。</w:t>
      </w:r>
    </w:p>
    <w:p>
      <w:pPr>
        <w:ind w:firstLine="480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（四）竞选展会名单</w:t>
      </w:r>
    </w:p>
    <w:tbl>
      <w:tblPr>
        <w:jc w:val="center"/>
        <w:tblW w:w="7545" w:type="dxa"/>
      </w:tblPr>
      <w:tblGrid>
        <w:gridCol w:w="2597"/>
        <w:gridCol w:w="4948"/>
      </w:tblGrid>
      <w:tr>
        <w:trPr>
          <w:cantSplit/>
          <w:trHeight w:val="0" w:hRule="auto"/>
        </w:trPr>
        <w:tc>
          <w:tcPr>
            <w:tcW w:w="2597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院系名称</w:t>
            </w:r>
          </w:p>
        </w:tc>
        <w:tc>
          <w:tcPr>
            <w:tcW w:w="4948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展会名称</w:t>
            </w:r>
          </w:p>
        </w:tc>
      </w:tr>
      <w:tr>
        <w:trPr>
          <w:cantSplit/>
          <w:trHeight w:val="0" w:hRule="auto"/>
        </w:trPr>
        <w:tc>
          <w:tcPr>
            <w:tcW w:w="2597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体育学院</w:t>
            </w:r>
          </w:p>
        </w:tc>
        <w:tc>
          <w:tcPr>
            <w:tcW w:w="4948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梦马文化节</w:t>
            </w:r>
          </w:p>
        </w:tc>
      </w:tr>
      <w:tr>
        <w:trPr>
          <w:cantSplit/>
          <w:trHeight w:val="0" w:hRule="auto"/>
        </w:trPr>
        <w:tc>
          <w:tcPr>
            <w:tcW w:w="2597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机电工程与汽车服务学院</w:t>
            </w:r>
          </w:p>
        </w:tc>
        <w:tc>
          <w:tcPr>
            <w:tcW w:w="4948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新能源汽车展</w:t>
            </w:r>
          </w:p>
        </w:tc>
      </w:tr>
      <w:tr>
        <w:trPr>
          <w:cantSplit/>
          <w:trHeight w:val="0" w:hRule="auto"/>
        </w:trPr>
        <w:tc>
          <w:tcPr>
            <w:tcW w:w="2597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烹饪与食品工程学院</w:t>
            </w:r>
          </w:p>
        </w:tc>
        <w:tc>
          <w:tcPr>
            <w:tcW w:w="4948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美食节</w:t>
            </w:r>
          </w:p>
        </w:tc>
      </w:tr>
      <w:tr>
        <w:trPr>
          <w:cantSplit/>
          <w:trHeight w:val="0" w:hRule="auto"/>
        </w:trPr>
        <w:tc>
          <w:tcPr>
            <w:tcW w:w="2597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旅游与酒店管理学院</w:t>
            </w:r>
          </w:p>
        </w:tc>
        <w:tc>
          <w:tcPr>
            <w:tcW w:w="4948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校园展会</w:t>
            </w:r>
          </w:p>
        </w:tc>
      </w:tr>
      <w:tr>
        <w:trPr>
          <w:cantSplit/>
          <w:trHeight w:val="90" w:hRule="atLeast"/>
        </w:trPr>
        <w:tc>
          <w:tcPr>
            <w:tcW w:w="2597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艺术学院</w:t>
            </w:r>
          </w:p>
        </w:tc>
        <w:tc>
          <w:tcPr>
            <w:tcW w:w="4948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艺术展</w:t>
            </w:r>
          </w:p>
        </w:tc>
      </w:tr>
      <w:tr>
        <w:trPr>
          <w:cantSplit/>
          <w:trHeight w:val="90" w:hRule="atLeast"/>
        </w:trPr>
        <w:tc>
          <w:tcPr>
            <w:tcW w:w="2597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商贸物流学院</w:t>
            </w:r>
          </w:p>
        </w:tc>
        <w:tc>
          <w:tcPr>
            <w:tcW w:w="4948" w:type="dxa"/>
            <w:vAlign w:val="center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游园会</w:t>
            </w:r>
          </w:p>
        </w:tc>
      </w:tr>
    </w:tbl>
    <w:p>
      <w:pPr>
        <w:ind w:left="482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（五）活动安排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 在南北区食堂及弧形楼下摆设展板，对这次活动进行广泛宣传，让同学们可以了解并积极参加此次评比，从而得到更加准确公平的评比结果。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2.通过一个完整的PPT，展示各类展会风采并进行讲解，通过此PPT使同学们对展会进行了解和回顾。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3.将14级学生和16级学生分组，对各类展会进行信息采集，将收集信息用PPT形式展示出来 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4.此次评比的结果，将以展板的方式展示给大家，更加体现了这次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5.活动的目的，具有实际意义，具有真实性.</w:t>
      </w:r>
    </w:p>
    <w:p>
      <w:pPr>
        <w:ind w:firstLine="560"/>
        <w:spacing w:line="360" w:lineRule="auto"/>
        <w:jc w:val="left"/>
        <w:rPr>
          <w:rFonts w:ascii="黑体" w:hAnsi="黑体" w:eastAsia="黑体"/>
          <w:kern w:val="1"/>
          <w:sz w:val="28"/>
          <w:szCs w:val="28"/>
        </w:rPr>
      </w:pPr>
      <w:r>
        <w:rPr>
          <w:rFonts w:ascii="黑体" w:hAnsi="黑体" w:eastAsia="黑体"/>
          <w:kern w:val="1"/>
          <w:sz w:val="28"/>
          <w:szCs w:val="28"/>
        </w:rPr>
        <w:t>三、活动可行性分析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（一）本次评比面向全校学生，以公平公正公开的态度，由专业的评委老师进行合理的评判。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（二）致远广场是我校人流最密集的地方，宣传范围大，影响力广，效果明显。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（三）此次活动更注重同学们对各类展会得了解，以更集中的方式来总结同学们对各个展会的意见和建议，使双方受益。对于被评选为最喜爱的展会，将具有莫大的宣传效力。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四）将把专业老师对展会缺陷进行综合总结，并且整理同学们为这些展会提出改进的方法以及建议，以此来提高展会知名度和影响力，增加效益。让活动得到最大的宣传效果，最切实的回馈调查，同时也让同学们参与的安心开心。 </w:t>
      </w:r>
    </w:p>
    <w:p>
      <w:pPr>
        <w:ind w:firstLine="560"/>
        <w:spacing/>
        <w:jc w:val="left"/>
        <w:rPr>
          <w:rFonts w:ascii="黑体" w:hAnsi="黑体" w:eastAsia="黑体"/>
          <w:kern w:val="1"/>
          <w:sz w:val="28"/>
          <w:szCs w:val="28"/>
        </w:rPr>
      </w:pPr>
      <w:r>
        <w:rPr>
          <w:rFonts w:ascii="黑体" w:hAnsi="黑体" w:eastAsia="黑体"/>
          <w:kern w:val="1"/>
          <w:sz w:val="28"/>
          <w:szCs w:val="28"/>
        </w:rPr>
        <w:t>四、晚会所需用品及经费预算</w:t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资金预算、来源及用途</w:t>
      </w:r>
      <w:r>
        <w:rPr>
          <w:kern w:val="1"/>
          <w:sz w:val="28"/>
          <w:szCs w:val="28"/>
        </w:rPr>
        <w:t>（预计5000元）</w:t>
      </w:r>
      <w:r>
        <w:rPr>
          <w:kern w:val="1"/>
          <w:sz w:val="28"/>
          <w:szCs w:val="28"/>
        </w:rPr>
      </w:r>
    </w:p>
    <w:p>
      <w:pPr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费用用途      </w:t>
      </w:r>
      <w:r>
        <w:rPr>
          <w:kern w:val="1"/>
          <w:sz w:val="28"/>
          <w:szCs w:val="28"/>
        </w:rPr>
        <w:t>支出预算</w:t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服装</w:t>
      </w:r>
      <w:r>
        <w:rPr>
          <w:kern w:val="1"/>
          <w:sz w:val="28"/>
          <w:szCs w:val="28"/>
        </w:rPr>
        <w:t>费用</w:t>
      </w:r>
      <w:r>
        <w:rPr>
          <w:kern w:val="1"/>
          <w:sz w:val="28"/>
          <w:szCs w:val="28"/>
        </w:rPr>
        <w:t xml:space="preserve">        1000</w:t>
      </w:r>
      <w:r>
        <w:rPr>
          <w:kern w:val="1"/>
          <w:sz w:val="28"/>
          <w:szCs w:val="28"/>
        </w:rPr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道具</w:t>
      </w:r>
      <w:r>
        <w:rPr>
          <w:kern w:val="1"/>
          <w:sz w:val="28"/>
          <w:szCs w:val="28"/>
        </w:rPr>
        <w:t>费用</w:t>
      </w:r>
      <w:r>
        <w:rPr>
          <w:kern w:val="1"/>
          <w:sz w:val="28"/>
          <w:szCs w:val="28"/>
        </w:rPr>
        <w:t xml:space="preserve">        2000</w:t>
      </w:r>
      <w:r>
        <w:rPr>
          <w:kern w:val="1"/>
          <w:sz w:val="28"/>
          <w:szCs w:val="28"/>
        </w:rPr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拱形气球</w:t>
      </w:r>
      <w:r>
        <w:rPr>
          <w:kern w:val="1"/>
          <w:sz w:val="28"/>
          <w:szCs w:val="28"/>
        </w:rPr>
        <w:t xml:space="preserve">        200</w:t>
      </w:r>
      <w:r>
        <w:rPr>
          <w:kern w:val="1"/>
          <w:sz w:val="28"/>
          <w:szCs w:val="28"/>
        </w:rPr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横幅</w:t>
      </w:r>
      <w:r>
        <w:rPr>
          <w:kern w:val="1"/>
          <w:sz w:val="28"/>
          <w:szCs w:val="28"/>
        </w:rPr>
        <w:t xml:space="preserve">            200</w:t>
      </w:r>
      <w:r>
        <w:rPr>
          <w:kern w:val="1"/>
          <w:sz w:val="28"/>
          <w:szCs w:val="28"/>
        </w:rPr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宣传单</w:t>
      </w:r>
      <w:r>
        <w:rPr>
          <w:kern w:val="1"/>
          <w:sz w:val="28"/>
          <w:szCs w:val="28"/>
        </w:rPr>
        <w:t xml:space="preserve">          200</w:t>
      </w:r>
      <w:r>
        <w:rPr>
          <w:kern w:val="1"/>
          <w:sz w:val="28"/>
          <w:szCs w:val="28"/>
        </w:rPr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人工费</w:t>
      </w:r>
      <w:r>
        <w:rPr>
          <w:kern w:val="1"/>
          <w:sz w:val="28"/>
          <w:szCs w:val="28"/>
        </w:rPr>
        <w:t xml:space="preserve">          1000</w:t>
      </w:r>
      <w:r>
        <w:rPr>
          <w:kern w:val="1"/>
          <w:sz w:val="28"/>
          <w:szCs w:val="28"/>
        </w:rPr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其他</w:t>
      </w:r>
      <w:r>
        <w:rPr>
          <w:kern w:val="1"/>
          <w:sz w:val="28"/>
          <w:szCs w:val="28"/>
        </w:rPr>
        <w:t xml:space="preserve">            </w:t>
      </w:r>
      <w:r/>
      <w:bookmarkStart w:id="0" w:name="_GoBack"/>
      <w:bookmarkEnd w:id="0"/>
      <w:r/>
      <w:r>
        <w:rPr>
          <w:kern w:val="1"/>
          <w:sz w:val="28"/>
          <w:szCs w:val="28"/>
        </w:rPr>
        <w:t>4</w:t>
      </w:r>
      <w:r>
        <w:rPr>
          <w:kern w:val="1"/>
          <w:sz w:val="28"/>
          <w:szCs w:val="28"/>
        </w:rPr>
        <w:t>00</w:t>
      </w:r>
    </w:p>
    <w:p>
      <w:pPr>
        <w:ind w:firstLine="560"/>
        <w:spacing/>
        <w:jc w:val="lef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合计            5000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Microsoft YaHei UI">
    <w:panose1 w:val="020B0503020204020204"/>
    <w:charset w:val="86"/>
    <w:family w:val="swiss"/>
    <w:pitch w:val="default"/>
  </w:font>
  <w:font w:name="‹ÎSå">
    <w:panose1 w:val="020B0604020202020204"/>
    <w:charset w:val="00"/>
    <w:family w:val="auto"/>
    <w:pitch w:val="default"/>
  </w:font>
  <w:font w:name="楷体">
    <w:panose1 w:val="02010609060101010101"/>
    <w:charset w:val="86"/>
    <w:family w:val="modern"/>
    <w:pitch w:val="default"/>
  </w:font>
  <w:font w:name="黑体">
    <w:panose1 w:val="02010609060101010101"/>
    <w:charset w:val="86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0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50"/>
      <w:tmLastPosIdx w:val="16"/>
    </w:tmLastPosCaret>
    <w:tmLastPosAnchor>
      <w:tmLastPosPgfIdx w:val="0"/>
      <w:tmLastPosIdx w:val="0"/>
    </w:tmLastPosAnchor>
    <w:tmLastPosTblRect w:left="0" w:top="0" w:right="0" w:bottom="0"/>
    <w:tmAppRevision w:date="1478494829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340" w:after="330" w:line="576" w:lineRule="auto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 w:val="44"/>
    </w:rPr>
  </w:style>
  <w:style w:type="paragraph" w:styleId="1" w:customStyle="1">
    <w:name w:val="页眉1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1" w:customStyle="1">
    <w:name w:val="页脚1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1" w:customStyle="1">
    <w:name w:val="页眉 Char1"/>
    <w:basedOn w:val=""/>
    <w:rPr>
      <w:sz w:val="18"/>
      <w:szCs w:val="18"/>
    </w:rPr>
  </w:style>
  <w:style w:type="character" w:styleId="Char1" w:customStyle="1">
    <w:name w:val="页脚 Char1"/>
    <w:basedOn w:val="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340" w:after="330" w:line="576" w:lineRule="auto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 w:val="44"/>
    </w:rPr>
  </w:style>
  <w:style w:type="paragraph" w:styleId="1" w:customStyle="1">
    <w:name w:val="页眉1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1" w:customStyle="1">
    <w:name w:val="页脚1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1" w:customStyle="1">
    <w:name w:val="页眉 Char1"/>
    <w:basedOn w:val=""/>
    <w:rPr>
      <w:sz w:val="18"/>
      <w:szCs w:val="18"/>
    </w:rPr>
  </w:style>
  <w:style w:type="character" w:styleId="Char1" w:customStyle="1">
    <w:name w:val="页脚 Char1"/>
    <w:basedOn w:val="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15</cp:revision>
  <dcterms:created xsi:type="dcterms:W3CDTF">2016-11-01T12:58:00Z</dcterms:created>
  <dcterms:modified xsi:type="dcterms:W3CDTF">2016-11-07T13:00:29Z</dcterms:modified>
</cp:coreProperties>
</file>